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83" w:rsidRPr="003B1E50" w:rsidRDefault="00E37183" w:rsidP="00E37183">
      <w:pPr>
        <w:ind w:left="20"/>
        <w:jc w:val="center"/>
        <w:rPr>
          <w:rFonts w:ascii="Times New Roman" w:hAnsi="Times New Roman" w:cs="Times New Roman"/>
          <w:sz w:val="28"/>
          <w:szCs w:val="28"/>
        </w:rPr>
      </w:pPr>
      <w:r w:rsidRPr="003B1E50">
        <w:rPr>
          <w:rFonts w:ascii="Times New Roman" w:hAnsi="Times New Roman" w:cs="Times New Roman"/>
          <w:sz w:val="28"/>
          <w:szCs w:val="28"/>
        </w:rPr>
        <w:t>Программа профилактики нарушений обязательных требований земельного</w:t>
      </w:r>
      <w:r w:rsidRPr="003B1E50">
        <w:rPr>
          <w:rFonts w:ascii="Times New Roman" w:hAnsi="Times New Roman" w:cs="Times New Roman"/>
          <w:sz w:val="28"/>
          <w:szCs w:val="28"/>
        </w:rPr>
        <w:br/>
        <w:t>законодательства в Серафимовичском муниципальном районе Волгоградской области на 2020 год</w:t>
      </w:r>
      <w:r w:rsidRPr="007A68F0">
        <w:rPr>
          <w:rFonts w:ascii="Times New Roman" w:eastAsia="Calibri" w:hAnsi="Times New Roman" w:cs="Times New Roman"/>
          <w:bCs/>
          <w:color w:val="auto"/>
          <w:sz w:val="28"/>
          <w:szCs w:val="28"/>
          <w:lang w:eastAsia="en-US" w:bidi="ar-SA"/>
        </w:rPr>
        <w:t xml:space="preserve"> </w:t>
      </w:r>
      <w:r>
        <w:rPr>
          <w:rFonts w:ascii="Times New Roman" w:eastAsia="Calibri" w:hAnsi="Times New Roman" w:cs="Times New Roman"/>
          <w:bCs/>
          <w:color w:val="auto"/>
          <w:sz w:val="28"/>
          <w:szCs w:val="28"/>
          <w:lang w:eastAsia="en-US" w:bidi="ar-SA"/>
        </w:rPr>
        <w:t>и плановый период 2021- 2022 годы</w:t>
      </w:r>
    </w:p>
    <w:p w:rsidR="00E37183" w:rsidRPr="003B1E50" w:rsidRDefault="00E37183" w:rsidP="00E37183">
      <w:pPr>
        <w:spacing w:line="280" w:lineRule="exact"/>
        <w:ind w:right="360"/>
        <w:rPr>
          <w:rFonts w:ascii="Times New Roman" w:hAnsi="Times New Roman" w:cs="Times New Roman"/>
          <w:sz w:val="28"/>
          <w:szCs w:val="28"/>
        </w:rPr>
      </w:pPr>
    </w:p>
    <w:p w:rsidR="00E37183" w:rsidRPr="003B1E50" w:rsidRDefault="00E37183" w:rsidP="00E37183">
      <w:pPr>
        <w:numPr>
          <w:ilvl w:val="0"/>
          <w:numId w:val="4"/>
        </w:numPr>
        <w:spacing w:line="280" w:lineRule="exact"/>
        <w:ind w:right="360"/>
        <w:jc w:val="center"/>
        <w:rPr>
          <w:rFonts w:ascii="Times New Roman" w:hAnsi="Times New Roman" w:cs="Times New Roman"/>
          <w:sz w:val="28"/>
          <w:szCs w:val="28"/>
        </w:rPr>
      </w:pPr>
      <w:r w:rsidRPr="003B1E50">
        <w:rPr>
          <w:rFonts w:ascii="Times New Roman" w:hAnsi="Times New Roman" w:cs="Times New Roman"/>
          <w:sz w:val="28"/>
          <w:szCs w:val="28"/>
        </w:rPr>
        <w:t>Общие положения</w:t>
      </w:r>
    </w:p>
    <w:p w:rsidR="00E37183" w:rsidRPr="003B1E50" w:rsidRDefault="00E37183" w:rsidP="00E37183">
      <w:pPr>
        <w:spacing w:line="280" w:lineRule="exact"/>
        <w:ind w:left="720" w:right="360"/>
        <w:rPr>
          <w:rFonts w:ascii="Times New Roman" w:hAnsi="Times New Roman" w:cs="Times New Roman"/>
          <w:sz w:val="28"/>
          <w:szCs w:val="28"/>
        </w:rPr>
      </w:pPr>
    </w:p>
    <w:p w:rsidR="00E37183" w:rsidRPr="003B1E50" w:rsidRDefault="00E37183" w:rsidP="00E37183">
      <w:pPr>
        <w:numPr>
          <w:ilvl w:val="0"/>
          <w:numId w:val="1"/>
        </w:numPr>
        <w:tabs>
          <w:tab w:val="left" w:pos="1106"/>
        </w:tabs>
        <w:spacing w:line="322" w:lineRule="exact"/>
        <w:ind w:firstLine="440"/>
        <w:jc w:val="both"/>
        <w:rPr>
          <w:rFonts w:ascii="Times New Roman" w:hAnsi="Times New Roman" w:cs="Times New Roman"/>
          <w:sz w:val="28"/>
          <w:szCs w:val="28"/>
        </w:rPr>
      </w:pPr>
      <w:proofErr w:type="gramStart"/>
      <w:r w:rsidRPr="003B1E50">
        <w:rPr>
          <w:rFonts w:ascii="Times New Roman" w:hAnsi="Times New Roman" w:cs="Times New Roman"/>
          <w:sz w:val="28"/>
          <w:szCs w:val="28"/>
        </w:rPr>
        <w:t>Настоящая программа направлена на проведение администрацией Серафимовичского муниципального района Волгоградской области профилактики нарушений требований земельного законодательства, установленных законодательством Российской Федерации, законодательством Волгоградской области, муниципальными правовыми актами Серафимовичского муниципального района Волгоградской области,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w:t>
      </w:r>
      <w:proofErr w:type="gramEnd"/>
      <w:r w:rsidRPr="003B1E50">
        <w:rPr>
          <w:rFonts w:ascii="Times New Roman" w:hAnsi="Times New Roman" w:cs="Times New Roman"/>
          <w:sz w:val="28"/>
          <w:szCs w:val="28"/>
        </w:rPr>
        <w:t xml:space="preserve"> и снижения рисков причинения ущерба охраняемым законом ценностям.</w:t>
      </w:r>
    </w:p>
    <w:p w:rsidR="00E37183" w:rsidRPr="003B1E50" w:rsidRDefault="00E37183" w:rsidP="00E37183">
      <w:pPr>
        <w:numPr>
          <w:ilvl w:val="0"/>
          <w:numId w:val="1"/>
        </w:numPr>
        <w:tabs>
          <w:tab w:val="left" w:pos="1106"/>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Профилактика нарушений обязательных требований земельного законодательства проводится в рамках осуществления муниципального земельного контроля.</w:t>
      </w:r>
    </w:p>
    <w:p w:rsidR="00E37183" w:rsidRPr="003B1E50" w:rsidRDefault="00E37183" w:rsidP="00E37183">
      <w:pPr>
        <w:numPr>
          <w:ilvl w:val="0"/>
          <w:numId w:val="1"/>
        </w:numPr>
        <w:tabs>
          <w:tab w:val="left" w:pos="972"/>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Целью программы является:</w:t>
      </w:r>
    </w:p>
    <w:p w:rsidR="00E37183" w:rsidRPr="003B1E50" w:rsidRDefault="00E37183" w:rsidP="00E37183">
      <w:pPr>
        <w:numPr>
          <w:ilvl w:val="0"/>
          <w:numId w:val="2"/>
        </w:numPr>
        <w:tabs>
          <w:tab w:val="left" w:pos="839"/>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 xml:space="preserve">предупреждение </w:t>
      </w:r>
      <w:proofErr w:type="gramStart"/>
      <w:r w:rsidRPr="003B1E50">
        <w:rPr>
          <w:rFonts w:ascii="Times New Roman" w:hAnsi="Times New Roman" w:cs="Times New Roman"/>
          <w:sz w:val="28"/>
          <w:szCs w:val="28"/>
        </w:rPr>
        <w:t>нарушений</w:t>
      </w:r>
      <w:proofErr w:type="gramEnd"/>
      <w:r w:rsidRPr="003B1E50">
        <w:rPr>
          <w:rFonts w:ascii="Times New Roman" w:hAnsi="Times New Roman" w:cs="Times New Roman"/>
          <w:sz w:val="28"/>
          <w:szCs w:val="28"/>
        </w:rPr>
        <w:t xml:space="preserve"> подконтрольными субъектами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E37183" w:rsidRPr="003B1E50" w:rsidRDefault="00E37183" w:rsidP="00E37183">
      <w:pPr>
        <w:numPr>
          <w:ilvl w:val="0"/>
          <w:numId w:val="2"/>
        </w:numPr>
        <w:tabs>
          <w:tab w:val="left" w:pos="729"/>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создание мотивации к добросовестному поведению подконтрольных субъектов;</w:t>
      </w:r>
    </w:p>
    <w:p w:rsidR="00E37183" w:rsidRPr="003B1E50" w:rsidRDefault="00E37183" w:rsidP="00E37183">
      <w:pPr>
        <w:numPr>
          <w:ilvl w:val="0"/>
          <w:numId w:val="2"/>
        </w:numPr>
        <w:tabs>
          <w:tab w:val="left" w:pos="819"/>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снижение уровня ущерба охраняемым законом ценностям.</w:t>
      </w:r>
    </w:p>
    <w:p w:rsidR="00E37183" w:rsidRPr="003B1E50" w:rsidRDefault="00E37183" w:rsidP="00E37183">
      <w:pPr>
        <w:numPr>
          <w:ilvl w:val="0"/>
          <w:numId w:val="1"/>
        </w:numPr>
        <w:tabs>
          <w:tab w:val="left" w:pos="972"/>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Задачами программы являются:</w:t>
      </w:r>
    </w:p>
    <w:p w:rsidR="00E37183" w:rsidRPr="003B1E50" w:rsidRDefault="00E37183" w:rsidP="00E37183">
      <w:pPr>
        <w:numPr>
          <w:ilvl w:val="0"/>
          <w:numId w:val="3"/>
        </w:numPr>
        <w:tabs>
          <w:tab w:val="left" w:pos="729"/>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укрепление системы профилактики нарушений обязательных требований путем активизации профилактической деятельности;</w:t>
      </w:r>
    </w:p>
    <w:p w:rsidR="00E37183" w:rsidRPr="003B1E50" w:rsidRDefault="00E37183" w:rsidP="00E37183">
      <w:pPr>
        <w:numPr>
          <w:ilvl w:val="0"/>
          <w:numId w:val="3"/>
        </w:numPr>
        <w:tabs>
          <w:tab w:val="left" w:pos="744"/>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выявление причин, факторов и условий, способствующих нарушениям требований земельного законодательства;</w:t>
      </w:r>
    </w:p>
    <w:p w:rsidR="00E37183" w:rsidRPr="003B1E50" w:rsidRDefault="00E37183" w:rsidP="00E37183">
      <w:pPr>
        <w:numPr>
          <w:ilvl w:val="0"/>
          <w:numId w:val="3"/>
        </w:numPr>
        <w:tabs>
          <w:tab w:val="left" w:pos="819"/>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повышение правосознания и правовой культуры подконтрольных субъектов.</w:t>
      </w:r>
    </w:p>
    <w:p w:rsidR="00E37183" w:rsidRPr="003B1E50" w:rsidRDefault="00E37183" w:rsidP="00E37183">
      <w:pPr>
        <w:numPr>
          <w:ilvl w:val="0"/>
          <w:numId w:val="1"/>
        </w:numPr>
        <w:tabs>
          <w:tab w:val="left" w:pos="972"/>
        </w:tabs>
        <w:spacing w:line="322" w:lineRule="exact"/>
        <w:ind w:firstLine="440"/>
        <w:jc w:val="both"/>
        <w:rPr>
          <w:rFonts w:ascii="Times New Roman" w:hAnsi="Times New Roman" w:cs="Times New Roman"/>
          <w:sz w:val="28"/>
          <w:szCs w:val="28"/>
        </w:rPr>
      </w:pPr>
      <w:r w:rsidRPr="003B1E50">
        <w:rPr>
          <w:rFonts w:ascii="Times New Roman" w:hAnsi="Times New Roman" w:cs="Times New Roman"/>
          <w:sz w:val="28"/>
          <w:szCs w:val="28"/>
        </w:rPr>
        <w:t>Срок реализации программы - 2020 год</w:t>
      </w:r>
      <w:r>
        <w:rPr>
          <w:rFonts w:ascii="Times New Roman" w:hAnsi="Times New Roman" w:cs="Times New Roman"/>
          <w:sz w:val="28"/>
          <w:szCs w:val="28"/>
        </w:rPr>
        <w:t xml:space="preserve"> – 2022 год</w:t>
      </w:r>
      <w:r w:rsidRPr="003B1E50">
        <w:rPr>
          <w:rFonts w:ascii="Times New Roman" w:hAnsi="Times New Roman" w:cs="Times New Roman"/>
          <w:sz w:val="28"/>
          <w:szCs w:val="28"/>
        </w:rPr>
        <w:t>.</w:t>
      </w:r>
    </w:p>
    <w:p w:rsidR="00E37183" w:rsidRPr="003B1E50" w:rsidRDefault="00E37183" w:rsidP="00E37183">
      <w:pPr>
        <w:tabs>
          <w:tab w:val="left" w:pos="972"/>
        </w:tabs>
        <w:spacing w:line="322" w:lineRule="exact"/>
        <w:jc w:val="both"/>
        <w:rPr>
          <w:rFonts w:ascii="Times New Roman" w:hAnsi="Times New Roman" w:cs="Times New Roman"/>
          <w:sz w:val="28"/>
          <w:szCs w:val="28"/>
        </w:rPr>
      </w:pPr>
    </w:p>
    <w:p w:rsidR="00E37183" w:rsidRPr="003B1E50" w:rsidRDefault="00E37183" w:rsidP="00E37183">
      <w:pPr>
        <w:tabs>
          <w:tab w:val="left" w:pos="972"/>
        </w:tabs>
        <w:spacing w:line="322" w:lineRule="exact"/>
        <w:jc w:val="both"/>
        <w:rPr>
          <w:rFonts w:ascii="Times New Roman" w:hAnsi="Times New Roman" w:cs="Times New Roman"/>
          <w:sz w:val="28"/>
          <w:szCs w:val="28"/>
        </w:rPr>
      </w:pPr>
    </w:p>
    <w:p w:rsidR="00E37183" w:rsidRPr="003B1E50" w:rsidRDefault="00E37183" w:rsidP="00E37183">
      <w:pPr>
        <w:tabs>
          <w:tab w:val="left" w:pos="972"/>
        </w:tabs>
        <w:spacing w:line="322" w:lineRule="exact"/>
        <w:jc w:val="both"/>
        <w:rPr>
          <w:rFonts w:ascii="Times New Roman" w:hAnsi="Times New Roman" w:cs="Times New Roman"/>
          <w:sz w:val="28"/>
          <w:szCs w:val="28"/>
        </w:rPr>
      </w:pPr>
    </w:p>
    <w:p w:rsidR="00E37183" w:rsidRPr="003B1E50" w:rsidRDefault="00E37183" w:rsidP="00E37183">
      <w:pPr>
        <w:tabs>
          <w:tab w:val="left" w:pos="972"/>
        </w:tabs>
        <w:spacing w:line="322" w:lineRule="exact"/>
        <w:jc w:val="both"/>
        <w:rPr>
          <w:rFonts w:ascii="Times New Roman" w:hAnsi="Times New Roman" w:cs="Times New Roman"/>
          <w:sz w:val="28"/>
          <w:szCs w:val="28"/>
        </w:rPr>
      </w:pPr>
    </w:p>
    <w:p w:rsidR="00E37183" w:rsidRPr="003B1E50" w:rsidRDefault="00E37183" w:rsidP="00E37183">
      <w:pPr>
        <w:tabs>
          <w:tab w:val="left" w:pos="972"/>
        </w:tabs>
        <w:spacing w:line="322" w:lineRule="exact"/>
        <w:jc w:val="both"/>
        <w:rPr>
          <w:rFonts w:ascii="Times New Roman" w:hAnsi="Times New Roman" w:cs="Times New Roman"/>
          <w:sz w:val="28"/>
          <w:szCs w:val="28"/>
        </w:rPr>
      </w:pPr>
    </w:p>
    <w:p w:rsidR="00E37183" w:rsidRPr="003B1E50" w:rsidRDefault="00E37183" w:rsidP="00E37183">
      <w:pPr>
        <w:tabs>
          <w:tab w:val="left" w:pos="972"/>
        </w:tabs>
        <w:spacing w:line="322" w:lineRule="exact"/>
        <w:jc w:val="both"/>
        <w:rPr>
          <w:rFonts w:ascii="Times New Roman" w:hAnsi="Times New Roman" w:cs="Times New Roman"/>
          <w:sz w:val="28"/>
          <w:szCs w:val="28"/>
        </w:rPr>
      </w:pPr>
    </w:p>
    <w:p w:rsidR="00E37183" w:rsidRPr="003B1E50" w:rsidRDefault="00E37183" w:rsidP="00E37183">
      <w:pPr>
        <w:tabs>
          <w:tab w:val="left" w:pos="972"/>
        </w:tabs>
        <w:spacing w:line="322" w:lineRule="exact"/>
        <w:jc w:val="both"/>
        <w:rPr>
          <w:rFonts w:ascii="Times New Roman" w:hAnsi="Times New Roman" w:cs="Times New Roman"/>
          <w:sz w:val="28"/>
          <w:szCs w:val="28"/>
        </w:rPr>
        <w:sectPr w:rsidR="00E37183" w:rsidRPr="003B1E50" w:rsidSect="003B1E50">
          <w:pgSz w:w="11900" w:h="16840"/>
          <w:pgMar w:top="1182" w:right="717" w:bottom="567" w:left="927" w:header="0" w:footer="3" w:gutter="0"/>
          <w:cols w:space="720"/>
          <w:noEndnote/>
          <w:docGrid w:linePitch="360"/>
        </w:sectPr>
      </w:pPr>
    </w:p>
    <w:p w:rsidR="00E37183" w:rsidRPr="003B1E50" w:rsidRDefault="00E37183" w:rsidP="00E37183">
      <w:pPr>
        <w:pStyle w:val="a4"/>
        <w:framePr w:w="9802" w:h="652" w:hRule="exact" w:wrap="notBeside" w:vAnchor="text" w:hAnchor="page" w:x="766" w:y="310"/>
        <w:numPr>
          <w:ilvl w:val="0"/>
          <w:numId w:val="4"/>
        </w:numPr>
        <w:shd w:val="clear" w:color="auto" w:fill="auto"/>
        <w:spacing w:line="280" w:lineRule="exact"/>
      </w:pPr>
      <w:r w:rsidRPr="003B1E50">
        <w:lastRenderedPageBreak/>
        <w:t>План-график профилактических мероприятий</w:t>
      </w:r>
      <w:r w:rsidRPr="007A68F0">
        <w:t xml:space="preserve"> </w:t>
      </w:r>
      <w:r w:rsidRPr="009A6FF8">
        <w:t>на 20</w:t>
      </w:r>
      <w:r>
        <w:t>20</w:t>
      </w:r>
      <w:r w:rsidRPr="009A6FF8">
        <w:t xml:space="preserve"> год</w:t>
      </w:r>
      <w:r>
        <w:t xml:space="preserve"> и плановый период 2021-2022 годы</w:t>
      </w:r>
    </w:p>
    <w:p w:rsidR="00E37183" w:rsidRPr="003B1E50" w:rsidRDefault="00E37183" w:rsidP="00E37183">
      <w:pPr>
        <w:pStyle w:val="a4"/>
        <w:framePr w:w="9802" w:wrap="notBeside" w:vAnchor="text" w:hAnchor="page" w:x="766" w:y="310"/>
        <w:shd w:val="clear" w:color="auto" w:fill="auto"/>
        <w:spacing w:line="280" w:lineRule="exact"/>
        <w:ind w:left="720"/>
      </w:pPr>
    </w:p>
    <w:tbl>
      <w:tblPr>
        <w:tblpPr w:leftFromText="180" w:rightFromText="180"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78"/>
        <w:gridCol w:w="4061"/>
        <w:gridCol w:w="2976"/>
        <w:gridCol w:w="2003"/>
      </w:tblGrid>
      <w:tr w:rsidR="00E37183" w:rsidRPr="003B1E50" w:rsidTr="00261944">
        <w:trPr>
          <w:trHeight w:hRule="exact" w:val="667"/>
        </w:trPr>
        <w:tc>
          <w:tcPr>
            <w:tcW w:w="878" w:type="dxa"/>
            <w:shd w:val="clear" w:color="auto" w:fill="FFFFFF"/>
          </w:tcPr>
          <w:p w:rsidR="00E37183" w:rsidRPr="003B1E50" w:rsidRDefault="00E37183" w:rsidP="00261944">
            <w:pPr>
              <w:jc w:val="center"/>
              <w:rPr>
                <w:rFonts w:ascii="Times New Roman" w:hAnsi="Times New Roman" w:cs="Times New Roman"/>
              </w:rPr>
            </w:pPr>
            <w:r w:rsidRPr="003B1E50">
              <w:rPr>
                <w:rFonts w:ascii="Times New Roman" w:hAnsi="Times New Roman" w:cs="Times New Roman"/>
              </w:rPr>
              <w:t>№</w:t>
            </w:r>
            <w:r>
              <w:rPr>
                <w:rFonts w:ascii="Times New Roman" w:hAnsi="Times New Roman" w:cs="Times New Roman"/>
              </w:rPr>
              <w:t xml:space="preserve"> </w:t>
            </w:r>
            <w:proofErr w:type="spellStart"/>
            <w:proofErr w:type="gramStart"/>
            <w:r w:rsidRPr="003B1E50">
              <w:rPr>
                <w:rFonts w:ascii="Times New Roman" w:hAnsi="Times New Roman" w:cs="Times New Roman"/>
              </w:rPr>
              <w:t>п</w:t>
            </w:r>
            <w:proofErr w:type="spellEnd"/>
            <w:proofErr w:type="gramEnd"/>
            <w:r w:rsidRPr="003B1E50">
              <w:rPr>
                <w:rFonts w:ascii="Times New Roman" w:hAnsi="Times New Roman" w:cs="Times New Roman"/>
              </w:rPr>
              <w:t>/</w:t>
            </w:r>
            <w:proofErr w:type="spellStart"/>
            <w:r w:rsidRPr="003B1E50">
              <w:rPr>
                <w:rFonts w:ascii="Times New Roman" w:hAnsi="Times New Roman" w:cs="Times New Roman"/>
              </w:rPr>
              <w:t>п</w:t>
            </w:r>
            <w:proofErr w:type="spellEnd"/>
          </w:p>
        </w:tc>
        <w:tc>
          <w:tcPr>
            <w:tcW w:w="4061" w:type="dxa"/>
            <w:shd w:val="clear" w:color="auto" w:fill="FFFFFF"/>
          </w:tcPr>
          <w:p w:rsidR="00E37183" w:rsidRPr="003B1E50" w:rsidRDefault="00E37183" w:rsidP="00261944">
            <w:pPr>
              <w:jc w:val="center"/>
              <w:rPr>
                <w:rFonts w:ascii="Times New Roman" w:hAnsi="Times New Roman" w:cs="Times New Roman"/>
              </w:rPr>
            </w:pPr>
            <w:r w:rsidRPr="003B1E50">
              <w:rPr>
                <w:rFonts w:ascii="Times New Roman" w:hAnsi="Times New Roman" w:cs="Times New Roman"/>
              </w:rPr>
              <w:t>Наименование мероприятия</w:t>
            </w:r>
          </w:p>
        </w:tc>
        <w:tc>
          <w:tcPr>
            <w:tcW w:w="2976" w:type="dxa"/>
            <w:shd w:val="clear" w:color="auto" w:fill="FFFFFF"/>
          </w:tcPr>
          <w:p w:rsidR="00E37183" w:rsidRPr="003B1E50" w:rsidRDefault="00E37183" w:rsidP="00261944">
            <w:pPr>
              <w:jc w:val="center"/>
              <w:rPr>
                <w:rFonts w:ascii="Times New Roman" w:hAnsi="Times New Roman" w:cs="Times New Roman"/>
              </w:rPr>
            </w:pPr>
            <w:r w:rsidRPr="003B1E50">
              <w:rPr>
                <w:rFonts w:ascii="Times New Roman" w:hAnsi="Times New Roman" w:cs="Times New Roman"/>
              </w:rPr>
              <w:t>Ответственный</w:t>
            </w:r>
          </w:p>
          <w:p w:rsidR="00E37183" w:rsidRPr="003B1E50" w:rsidRDefault="00E37183" w:rsidP="00261944">
            <w:pPr>
              <w:jc w:val="center"/>
              <w:rPr>
                <w:rFonts w:ascii="Times New Roman" w:hAnsi="Times New Roman" w:cs="Times New Roman"/>
              </w:rPr>
            </w:pPr>
            <w:r w:rsidRPr="003B1E50">
              <w:rPr>
                <w:rFonts w:ascii="Times New Roman" w:hAnsi="Times New Roman" w:cs="Times New Roman"/>
              </w:rPr>
              <w:t>исполнитель</w:t>
            </w:r>
          </w:p>
        </w:tc>
        <w:tc>
          <w:tcPr>
            <w:tcW w:w="2003" w:type="dxa"/>
            <w:shd w:val="clear" w:color="auto" w:fill="FFFFFF"/>
          </w:tcPr>
          <w:p w:rsidR="00E37183" w:rsidRPr="003B1E50" w:rsidRDefault="00E37183" w:rsidP="00261944">
            <w:pPr>
              <w:jc w:val="center"/>
              <w:rPr>
                <w:rFonts w:ascii="Times New Roman" w:hAnsi="Times New Roman" w:cs="Times New Roman"/>
              </w:rPr>
            </w:pPr>
            <w:r w:rsidRPr="003B1E50">
              <w:rPr>
                <w:rFonts w:ascii="Times New Roman" w:hAnsi="Times New Roman" w:cs="Times New Roman"/>
              </w:rPr>
              <w:t>Срок</w:t>
            </w:r>
          </w:p>
          <w:p w:rsidR="00E37183" w:rsidRPr="003B1E50" w:rsidRDefault="00E37183" w:rsidP="00261944">
            <w:pPr>
              <w:jc w:val="center"/>
              <w:rPr>
                <w:rFonts w:ascii="Times New Roman" w:hAnsi="Times New Roman" w:cs="Times New Roman"/>
              </w:rPr>
            </w:pPr>
            <w:r w:rsidRPr="003B1E50">
              <w:rPr>
                <w:rFonts w:ascii="Times New Roman" w:hAnsi="Times New Roman" w:cs="Times New Roman"/>
              </w:rPr>
              <w:t>исполнения</w:t>
            </w:r>
          </w:p>
        </w:tc>
      </w:tr>
      <w:tr w:rsidR="00E37183" w:rsidRPr="003B1E50" w:rsidTr="00261944">
        <w:trPr>
          <w:trHeight w:hRule="exact" w:val="2307"/>
        </w:trPr>
        <w:tc>
          <w:tcPr>
            <w:tcW w:w="878"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1</w:t>
            </w:r>
          </w:p>
        </w:tc>
        <w:tc>
          <w:tcPr>
            <w:tcW w:w="4061"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 xml:space="preserve">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3B1E50">
              <w:rPr>
                <w:rFonts w:ascii="Times New Roman" w:hAnsi="Times New Roman" w:cs="Times New Roman"/>
              </w:rPr>
              <w:t>-з</w:t>
            </w:r>
            <w:proofErr w:type="gramEnd"/>
            <w:r w:rsidRPr="003B1E50">
              <w:rPr>
                <w:rFonts w:ascii="Times New Roman" w:hAnsi="Times New Roman" w:cs="Times New Roman"/>
              </w:rPr>
              <w:t>емельного контроля</w:t>
            </w:r>
          </w:p>
        </w:tc>
        <w:tc>
          <w:tcPr>
            <w:tcW w:w="2976"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Отдел по управлению имуществом и землепользованию администрации Серафимовичского муниципального района Волгоградской области</w:t>
            </w:r>
          </w:p>
        </w:tc>
        <w:tc>
          <w:tcPr>
            <w:tcW w:w="2003"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Постоянно</w:t>
            </w:r>
          </w:p>
        </w:tc>
      </w:tr>
      <w:tr w:rsidR="00E37183" w:rsidRPr="003B1E50" w:rsidTr="00261944">
        <w:trPr>
          <w:trHeight w:hRule="exact" w:val="3402"/>
        </w:trPr>
        <w:tc>
          <w:tcPr>
            <w:tcW w:w="878"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2</w:t>
            </w:r>
          </w:p>
        </w:tc>
        <w:tc>
          <w:tcPr>
            <w:tcW w:w="4061"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Поддержание в актуальном состоянии размещенных на официальном сайте Серафимовичского муниципального района Волгоградской области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tc>
        <w:tc>
          <w:tcPr>
            <w:tcW w:w="2976"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Отдел по управлению имуществом и землепользованию, общий отдел администрации Серафимовичского муниципального района Волгоградской области</w:t>
            </w:r>
          </w:p>
        </w:tc>
        <w:tc>
          <w:tcPr>
            <w:tcW w:w="2003"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Постоянно</w:t>
            </w:r>
          </w:p>
        </w:tc>
      </w:tr>
      <w:tr w:rsidR="00E37183" w:rsidRPr="003B1E50" w:rsidTr="00261944">
        <w:trPr>
          <w:trHeight w:hRule="exact" w:val="1977"/>
        </w:trPr>
        <w:tc>
          <w:tcPr>
            <w:tcW w:w="878"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3</w:t>
            </w:r>
          </w:p>
        </w:tc>
        <w:tc>
          <w:tcPr>
            <w:tcW w:w="4061"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976"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Отдел по управлению имуществом и землепользованию администрации Серафимовичского муниципального района Волгоградской области</w:t>
            </w:r>
          </w:p>
        </w:tc>
        <w:tc>
          <w:tcPr>
            <w:tcW w:w="2003"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Постоянно</w:t>
            </w:r>
          </w:p>
        </w:tc>
      </w:tr>
      <w:tr w:rsidR="00E37183" w:rsidRPr="003B1E50" w:rsidTr="00261944">
        <w:trPr>
          <w:trHeight w:hRule="exact" w:val="1707"/>
        </w:trPr>
        <w:tc>
          <w:tcPr>
            <w:tcW w:w="878"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4</w:t>
            </w:r>
          </w:p>
        </w:tc>
        <w:tc>
          <w:tcPr>
            <w:tcW w:w="4061" w:type="dxa"/>
            <w:shd w:val="clear" w:color="auto" w:fill="FFFFFF"/>
          </w:tcPr>
          <w:p w:rsidR="00E37183" w:rsidRDefault="00E37183" w:rsidP="00261944">
            <w:pPr>
              <w:rPr>
                <w:rFonts w:ascii="Times New Roman" w:hAnsi="Times New Roman" w:cs="Times New Roman"/>
              </w:rPr>
            </w:pPr>
            <w:r w:rsidRPr="003B1E50">
              <w:rPr>
                <w:rFonts w:ascii="Times New Roman" w:hAnsi="Times New Roman" w:cs="Times New Roman"/>
              </w:rPr>
              <w:t>Размещение на сайте Серафимовичского муниципального района Волгоградской области в сети Интернет информации о</w:t>
            </w:r>
          </w:p>
          <w:p w:rsidR="00E37183" w:rsidRDefault="00E37183" w:rsidP="00261944">
            <w:pPr>
              <w:rPr>
                <w:rFonts w:ascii="Times New Roman" w:hAnsi="Times New Roman" w:cs="Times New Roman"/>
              </w:rPr>
            </w:pPr>
            <w:proofErr w:type="gramStart"/>
            <w:r w:rsidRPr="003B1E50">
              <w:rPr>
                <w:rStyle w:val="2"/>
                <w:rFonts w:eastAsia="Tahoma"/>
              </w:rPr>
              <w:t>результатах</w:t>
            </w:r>
            <w:proofErr w:type="gramEnd"/>
            <w:r w:rsidRPr="003B1E50">
              <w:rPr>
                <w:rStyle w:val="2"/>
                <w:rFonts w:eastAsia="Tahoma"/>
              </w:rPr>
              <w:t xml:space="preserve"> осуществления муниципального земельного контроля</w:t>
            </w:r>
          </w:p>
          <w:p w:rsidR="00E37183" w:rsidRDefault="00E37183" w:rsidP="00261944">
            <w:pPr>
              <w:rPr>
                <w:rFonts w:ascii="Times New Roman" w:hAnsi="Times New Roman" w:cs="Times New Roman"/>
              </w:rPr>
            </w:pPr>
          </w:p>
          <w:p w:rsidR="00E37183" w:rsidRDefault="00E37183" w:rsidP="00261944">
            <w:pPr>
              <w:rPr>
                <w:rFonts w:ascii="Times New Roman" w:hAnsi="Times New Roman" w:cs="Times New Roman"/>
              </w:rPr>
            </w:pPr>
          </w:p>
          <w:p w:rsidR="00E37183" w:rsidRDefault="00E37183" w:rsidP="00261944">
            <w:pPr>
              <w:rPr>
                <w:rFonts w:ascii="Times New Roman" w:hAnsi="Times New Roman" w:cs="Times New Roman"/>
              </w:rPr>
            </w:pPr>
          </w:p>
          <w:p w:rsidR="00E37183" w:rsidRDefault="00E37183" w:rsidP="00261944">
            <w:pPr>
              <w:rPr>
                <w:rFonts w:ascii="Times New Roman" w:hAnsi="Times New Roman" w:cs="Times New Roman"/>
              </w:rPr>
            </w:pPr>
          </w:p>
          <w:p w:rsidR="00E37183" w:rsidRDefault="00E37183" w:rsidP="00261944">
            <w:pPr>
              <w:rPr>
                <w:rFonts w:ascii="Times New Roman" w:hAnsi="Times New Roman" w:cs="Times New Roman"/>
              </w:rPr>
            </w:pPr>
          </w:p>
          <w:p w:rsidR="00E37183" w:rsidRPr="003B1E50" w:rsidRDefault="00E37183" w:rsidP="00261944">
            <w:pPr>
              <w:rPr>
                <w:rFonts w:ascii="Times New Roman" w:hAnsi="Times New Roman" w:cs="Times New Roman"/>
              </w:rPr>
            </w:pPr>
          </w:p>
        </w:tc>
        <w:tc>
          <w:tcPr>
            <w:tcW w:w="2976"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Отдел по управлению имуществом и землепользованию, общий отдел администрации</w:t>
            </w:r>
            <w:r w:rsidRPr="003B1E50">
              <w:rPr>
                <w:rStyle w:val="2"/>
                <w:rFonts w:eastAsia="Tahoma"/>
              </w:rPr>
              <w:t xml:space="preserve"> Серафимовичского муниципального района Волгоградской области</w:t>
            </w:r>
          </w:p>
        </w:tc>
        <w:tc>
          <w:tcPr>
            <w:tcW w:w="2003" w:type="dxa"/>
            <w:shd w:val="clear" w:color="auto" w:fill="FFFFFF"/>
          </w:tcPr>
          <w:p w:rsidR="00E37183" w:rsidRPr="003B1E50" w:rsidRDefault="00E37183" w:rsidP="00261944">
            <w:pPr>
              <w:rPr>
                <w:rFonts w:ascii="Times New Roman" w:hAnsi="Times New Roman" w:cs="Times New Roman"/>
              </w:rPr>
            </w:pPr>
            <w:r w:rsidRPr="003B1E50">
              <w:rPr>
                <w:rFonts w:ascii="Times New Roman" w:hAnsi="Times New Roman" w:cs="Times New Roman"/>
              </w:rPr>
              <w:t>Постоянно</w:t>
            </w:r>
          </w:p>
        </w:tc>
      </w:tr>
    </w:tbl>
    <w:p w:rsidR="00E37183" w:rsidRPr="003B1E50" w:rsidRDefault="00E37183" w:rsidP="00E37183">
      <w:pPr>
        <w:framePr w:w="9802" w:h="544" w:hRule="exact" w:wrap="notBeside" w:vAnchor="text" w:hAnchor="page" w:x="766" w:y="-169"/>
        <w:rPr>
          <w:rFonts w:ascii="Times New Roman" w:hAnsi="Times New Roman" w:cs="Times New Roman"/>
        </w:rPr>
      </w:pPr>
    </w:p>
    <w:p w:rsidR="00E37183" w:rsidRPr="003B1E50" w:rsidRDefault="00E37183" w:rsidP="00E37183">
      <w:pPr>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Text Box 8" o:spid="_x0000_s1026" type="#_x0000_t202" style="position:absolute;margin-left:0;margin-top:0;width:595pt;height:15.05pt;z-index:-25165619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I+qwIAAKk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" filled="f" stroked="f">
            <v:textbox inset="0,0,0,0">
              <w:txbxContent>
                <w:p w:rsidR="00E37183" w:rsidRDefault="00E37183" w:rsidP="00E37183"/>
              </w:txbxContent>
            </v:textbox>
            <w10:wrap type="tight"/>
          </v:shape>
        </w:pict>
      </w:r>
      <w:r w:rsidRPr="003B1E50">
        <w:rPr>
          <w:rFonts w:ascii="Times New Roman" w:hAnsi="Times New Roman" w:cs="Times New Roman"/>
        </w:rPr>
        <w:t xml:space="preserve"> </w:t>
      </w:r>
    </w:p>
    <w:p w:rsidR="00E37183" w:rsidRPr="003B1E50" w:rsidRDefault="00E37183" w:rsidP="00E37183">
      <w:pPr>
        <w:rPr>
          <w:rFonts w:ascii="Times New Roman" w:hAnsi="Times New Roman" w:cs="Times New Roman"/>
        </w:rPr>
        <w:sectPr w:rsidR="00E37183" w:rsidRPr="003B1E50" w:rsidSect="003B1E50">
          <w:pgSz w:w="11900" w:h="16840"/>
          <w:pgMar w:top="709" w:right="0" w:bottom="1001" w:left="0" w:header="0" w:footer="3" w:gutter="0"/>
          <w:cols w:space="720"/>
          <w:noEndnote/>
          <w:docGrid w:linePitch="360"/>
        </w:sectPr>
      </w:pPr>
    </w:p>
    <w:p w:rsidR="00E37183" w:rsidRPr="003B1E50" w:rsidRDefault="00E37183" w:rsidP="00E37183">
      <w:pPr>
        <w:rPr>
          <w:rFonts w:ascii="Times New Roman" w:hAnsi="Times New Roman" w:cs="Times New Roman"/>
        </w:rPr>
      </w:pPr>
    </w:p>
    <w:tbl>
      <w:tblPr>
        <w:tblOverlap w:val="never"/>
        <w:tblW w:w="0" w:type="auto"/>
        <w:tblLayout w:type="fixed"/>
        <w:tblCellMar>
          <w:left w:w="10" w:type="dxa"/>
          <w:right w:w="10" w:type="dxa"/>
        </w:tblCellMar>
        <w:tblLook w:val="04A0"/>
      </w:tblPr>
      <w:tblGrid>
        <w:gridCol w:w="907"/>
        <w:gridCol w:w="4051"/>
        <w:gridCol w:w="2971"/>
        <w:gridCol w:w="1906"/>
      </w:tblGrid>
      <w:tr w:rsidR="00E37183" w:rsidRPr="003B1E50" w:rsidTr="00261944">
        <w:trPr>
          <w:trHeight w:hRule="exact" w:val="4529"/>
        </w:trPr>
        <w:tc>
          <w:tcPr>
            <w:tcW w:w="907" w:type="dxa"/>
            <w:tcBorders>
              <w:top w:val="single" w:sz="4" w:space="0" w:color="auto"/>
              <w:left w:val="single" w:sz="4" w:space="0" w:color="auto"/>
            </w:tcBorders>
            <w:shd w:val="clear" w:color="auto" w:fill="FFFFFF"/>
          </w:tcPr>
          <w:p w:rsidR="00E37183" w:rsidRPr="003B1E50" w:rsidRDefault="00E37183" w:rsidP="00261944">
            <w:pPr>
              <w:framePr w:w="9835" w:wrap="notBeside" w:vAnchor="text" w:hAnchor="page" w:x="1051" w:y="-245"/>
              <w:spacing w:line="280" w:lineRule="exact"/>
              <w:rPr>
                <w:rFonts w:ascii="Times New Roman" w:hAnsi="Times New Roman" w:cs="Times New Roman"/>
              </w:rPr>
            </w:pPr>
            <w:r w:rsidRPr="003B1E50">
              <w:rPr>
                <w:rStyle w:val="2"/>
                <w:rFonts w:eastAsia="Tahoma"/>
              </w:rPr>
              <w:lastRenderedPageBreak/>
              <w:t>5</w:t>
            </w:r>
          </w:p>
        </w:tc>
        <w:tc>
          <w:tcPr>
            <w:tcW w:w="4051" w:type="dxa"/>
            <w:tcBorders>
              <w:top w:val="single" w:sz="4" w:space="0" w:color="auto"/>
              <w:left w:val="single" w:sz="4" w:space="0" w:color="auto"/>
            </w:tcBorders>
            <w:shd w:val="clear" w:color="auto" w:fill="FFFFFF"/>
          </w:tcPr>
          <w:p w:rsidR="00E37183" w:rsidRPr="003B1E50" w:rsidRDefault="00E37183" w:rsidP="00261944">
            <w:pPr>
              <w:framePr w:w="9835" w:wrap="notBeside" w:vAnchor="text" w:hAnchor="page" w:x="1051" w:y="-245"/>
              <w:rPr>
                <w:rFonts w:ascii="Times New Roman" w:hAnsi="Times New Roman" w:cs="Times New Roman"/>
              </w:rPr>
            </w:pPr>
            <w:proofErr w:type="gramStart"/>
            <w:r w:rsidRPr="003B1E50">
              <w:rPr>
                <w:rStyle w:val="2"/>
                <w:rFonts w:eastAsia="Tahoma"/>
              </w:rPr>
              <w:t>Обобщение и размещение на сайте Серафимовичского муниципального района Волгоградской области в сети Интернет практики осуществления муниципального земельного контроля,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roofErr w:type="gramEnd"/>
          </w:p>
        </w:tc>
        <w:tc>
          <w:tcPr>
            <w:tcW w:w="2971" w:type="dxa"/>
            <w:tcBorders>
              <w:top w:val="single" w:sz="4" w:space="0" w:color="auto"/>
              <w:left w:val="single" w:sz="4" w:space="0" w:color="auto"/>
            </w:tcBorders>
            <w:shd w:val="clear" w:color="auto" w:fill="FFFFFF"/>
          </w:tcPr>
          <w:p w:rsidR="00E37183" w:rsidRPr="003B1E50" w:rsidRDefault="00E37183" w:rsidP="00261944">
            <w:pPr>
              <w:framePr w:w="9835" w:wrap="notBeside" w:vAnchor="text" w:hAnchor="page" w:x="1051" w:y="-245"/>
              <w:rPr>
                <w:rFonts w:ascii="Times New Roman" w:hAnsi="Times New Roman" w:cs="Times New Roman"/>
              </w:rPr>
            </w:pPr>
            <w:r w:rsidRPr="003B1E50">
              <w:rPr>
                <w:rStyle w:val="2"/>
                <w:rFonts w:eastAsia="Tahoma"/>
              </w:rPr>
              <w:t>Отдел по управлению имуществом и землепользованию, общий отдел администрации Серафимовичского муниципального района Волгоградской области</w:t>
            </w:r>
          </w:p>
        </w:tc>
        <w:tc>
          <w:tcPr>
            <w:tcW w:w="1906" w:type="dxa"/>
            <w:tcBorders>
              <w:top w:val="single" w:sz="4" w:space="0" w:color="auto"/>
              <w:left w:val="single" w:sz="4" w:space="0" w:color="auto"/>
              <w:right w:val="single" w:sz="4" w:space="0" w:color="auto"/>
            </w:tcBorders>
            <w:shd w:val="clear" w:color="auto" w:fill="FFFFFF"/>
          </w:tcPr>
          <w:p w:rsidR="00E37183" w:rsidRPr="003B1E50" w:rsidRDefault="00E37183" w:rsidP="00261944">
            <w:pPr>
              <w:framePr w:w="9835" w:wrap="notBeside" w:vAnchor="text" w:hAnchor="page" w:x="1051" w:y="-245"/>
              <w:rPr>
                <w:rFonts w:ascii="Times New Roman" w:hAnsi="Times New Roman" w:cs="Times New Roman"/>
              </w:rPr>
            </w:pPr>
            <w:r w:rsidRPr="003B1E50">
              <w:rPr>
                <w:rStyle w:val="2"/>
                <w:rFonts w:eastAsia="Tahoma"/>
              </w:rPr>
              <w:t>По мере необходимости</w:t>
            </w:r>
          </w:p>
        </w:tc>
      </w:tr>
      <w:tr w:rsidR="00E37183" w:rsidRPr="003B1E50" w:rsidTr="00261944">
        <w:trPr>
          <w:trHeight w:hRule="exact" w:val="3118"/>
        </w:trPr>
        <w:tc>
          <w:tcPr>
            <w:tcW w:w="907" w:type="dxa"/>
            <w:tcBorders>
              <w:top w:val="single" w:sz="4" w:space="0" w:color="auto"/>
              <w:left w:val="single" w:sz="4" w:space="0" w:color="auto"/>
            </w:tcBorders>
            <w:shd w:val="clear" w:color="auto" w:fill="FFFFFF"/>
          </w:tcPr>
          <w:p w:rsidR="00E37183" w:rsidRPr="003B1E50" w:rsidRDefault="00E37183" w:rsidP="00261944">
            <w:pPr>
              <w:framePr w:w="9835" w:wrap="notBeside" w:vAnchor="text" w:hAnchor="page" w:x="1051" w:y="-245"/>
              <w:spacing w:line="280" w:lineRule="exact"/>
              <w:ind w:right="380"/>
              <w:rPr>
                <w:rFonts w:ascii="Times New Roman" w:hAnsi="Times New Roman" w:cs="Times New Roman"/>
              </w:rPr>
            </w:pPr>
            <w:r w:rsidRPr="003B1E50">
              <w:rPr>
                <w:rStyle w:val="2"/>
                <w:rFonts w:eastAsia="Tahoma"/>
              </w:rPr>
              <w:t>6</w:t>
            </w:r>
          </w:p>
        </w:tc>
        <w:tc>
          <w:tcPr>
            <w:tcW w:w="4051" w:type="dxa"/>
            <w:tcBorders>
              <w:top w:val="single" w:sz="4" w:space="0" w:color="auto"/>
              <w:left w:val="single" w:sz="4" w:space="0" w:color="auto"/>
            </w:tcBorders>
            <w:shd w:val="clear" w:color="auto" w:fill="FFFFFF"/>
          </w:tcPr>
          <w:p w:rsidR="00E37183" w:rsidRPr="003B1E50" w:rsidRDefault="00E37183" w:rsidP="00261944">
            <w:pPr>
              <w:framePr w:w="9835" w:wrap="notBeside" w:vAnchor="text" w:hAnchor="page" w:x="1051" w:y="-245"/>
              <w:rPr>
                <w:rFonts w:ascii="Times New Roman" w:hAnsi="Times New Roman" w:cs="Times New Roman"/>
              </w:rPr>
            </w:pPr>
            <w:r w:rsidRPr="003B1E50">
              <w:rPr>
                <w:rStyle w:val="2"/>
                <w:rFonts w:eastAsia="Tahoma"/>
              </w:rPr>
              <w:t xml:space="preserve">Выдача предостережений о недопустимости нарушения обязательных требований земельного законодательства в соответствии с частями 5-7 статьи 8.2 Федерального закона от 26 декабря 2008 года </w:t>
            </w:r>
            <w:r w:rsidRPr="003B1E50">
              <w:rPr>
                <w:rStyle w:val="2"/>
                <w:rFonts w:eastAsia="Tahoma"/>
                <w:lang w:val="en-US" w:eastAsia="en-US" w:bidi="en-US"/>
              </w:rPr>
              <w:t>N</w:t>
            </w:r>
            <w:r w:rsidRPr="003B1E50">
              <w:rPr>
                <w:rStyle w:val="2"/>
                <w:rFonts w:eastAsia="Tahoma"/>
                <w:lang w:eastAsia="en-US" w:bidi="en-US"/>
              </w:rPr>
              <w:t xml:space="preserve"> </w:t>
            </w:r>
            <w:r w:rsidRPr="003B1E50">
              <w:rPr>
                <w:rStyle w:val="2"/>
                <w:rFonts w:eastAsia="Tahoma"/>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971" w:type="dxa"/>
            <w:tcBorders>
              <w:top w:val="single" w:sz="4" w:space="0" w:color="auto"/>
              <w:left w:val="single" w:sz="4" w:space="0" w:color="auto"/>
            </w:tcBorders>
            <w:shd w:val="clear" w:color="auto" w:fill="FFFFFF"/>
          </w:tcPr>
          <w:p w:rsidR="00E37183" w:rsidRPr="003B1E50" w:rsidRDefault="00E37183" w:rsidP="00261944">
            <w:pPr>
              <w:framePr w:w="9835" w:wrap="notBeside" w:vAnchor="text" w:hAnchor="page" w:x="1051" w:y="-245"/>
              <w:rPr>
                <w:rFonts w:ascii="Times New Roman" w:hAnsi="Times New Roman" w:cs="Times New Roman"/>
              </w:rPr>
            </w:pPr>
            <w:r w:rsidRPr="003B1E50">
              <w:rPr>
                <w:rStyle w:val="2"/>
                <w:rFonts w:eastAsia="Tahoma"/>
              </w:rPr>
              <w:t>Отдел по управлению имуществом и землепользованию администрации Серафимовичского муниципального района Волгоградской области</w:t>
            </w:r>
          </w:p>
        </w:tc>
        <w:tc>
          <w:tcPr>
            <w:tcW w:w="1906" w:type="dxa"/>
            <w:tcBorders>
              <w:top w:val="single" w:sz="4" w:space="0" w:color="auto"/>
              <w:left w:val="single" w:sz="4" w:space="0" w:color="auto"/>
              <w:right w:val="single" w:sz="4" w:space="0" w:color="auto"/>
            </w:tcBorders>
            <w:shd w:val="clear" w:color="auto" w:fill="FFFFFF"/>
          </w:tcPr>
          <w:p w:rsidR="00E37183" w:rsidRPr="003B1E50" w:rsidRDefault="00E37183" w:rsidP="00261944">
            <w:pPr>
              <w:framePr w:w="9835" w:wrap="notBeside" w:vAnchor="text" w:hAnchor="page" w:x="1051" w:y="-245"/>
              <w:rPr>
                <w:rFonts w:ascii="Times New Roman" w:hAnsi="Times New Roman" w:cs="Times New Roman"/>
              </w:rPr>
            </w:pPr>
            <w:r w:rsidRPr="003B1E50">
              <w:rPr>
                <w:rStyle w:val="2"/>
                <w:rFonts w:eastAsia="Tahoma"/>
              </w:rPr>
              <w:t>По мере необходимости</w:t>
            </w:r>
          </w:p>
        </w:tc>
      </w:tr>
      <w:tr w:rsidR="00E37183" w:rsidRPr="003B1E50" w:rsidTr="00261944">
        <w:trPr>
          <w:trHeight w:hRule="exact" w:val="1723"/>
        </w:trPr>
        <w:tc>
          <w:tcPr>
            <w:tcW w:w="907" w:type="dxa"/>
            <w:tcBorders>
              <w:top w:val="single" w:sz="4" w:space="0" w:color="auto"/>
              <w:left w:val="single" w:sz="4" w:space="0" w:color="auto"/>
              <w:bottom w:val="single" w:sz="4" w:space="0" w:color="auto"/>
            </w:tcBorders>
            <w:shd w:val="clear" w:color="auto" w:fill="FFFFFF"/>
          </w:tcPr>
          <w:p w:rsidR="00E37183" w:rsidRPr="003B1E50" w:rsidRDefault="00E37183" w:rsidP="00261944">
            <w:pPr>
              <w:framePr w:w="9835" w:wrap="notBeside" w:vAnchor="text" w:hAnchor="page" w:x="1051" w:y="-245"/>
              <w:spacing w:line="280" w:lineRule="exact"/>
              <w:ind w:right="380"/>
              <w:rPr>
                <w:rFonts w:ascii="Times New Roman" w:hAnsi="Times New Roman" w:cs="Times New Roman"/>
              </w:rPr>
            </w:pPr>
            <w:r w:rsidRPr="003B1E50">
              <w:rPr>
                <w:rStyle w:val="2"/>
                <w:rFonts w:eastAsia="Tahoma"/>
              </w:rPr>
              <w:t>7</w:t>
            </w:r>
          </w:p>
        </w:tc>
        <w:tc>
          <w:tcPr>
            <w:tcW w:w="4051" w:type="dxa"/>
            <w:tcBorders>
              <w:top w:val="single" w:sz="4" w:space="0" w:color="auto"/>
              <w:left w:val="single" w:sz="4" w:space="0" w:color="auto"/>
              <w:bottom w:val="single" w:sz="4" w:space="0" w:color="auto"/>
            </w:tcBorders>
            <w:shd w:val="clear" w:color="auto" w:fill="FFFFFF"/>
          </w:tcPr>
          <w:p w:rsidR="00E37183" w:rsidRPr="003B1E50" w:rsidRDefault="00E37183" w:rsidP="00261944">
            <w:pPr>
              <w:framePr w:w="9835" w:wrap="notBeside" w:vAnchor="text" w:hAnchor="page" w:x="1051" w:y="-245"/>
              <w:rPr>
                <w:rFonts w:ascii="Times New Roman" w:hAnsi="Times New Roman" w:cs="Times New Roman"/>
              </w:rPr>
            </w:pPr>
            <w:r w:rsidRPr="003B1E50">
              <w:rPr>
                <w:rStyle w:val="2"/>
                <w:rFonts w:eastAsia="Tahoma"/>
              </w:rPr>
              <w:t>Информирование подконтрольных субъектов о результатах контрольной деятельности в ГИС "Управление"</w:t>
            </w:r>
          </w:p>
        </w:tc>
        <w:tc>
          <w:tcPr>
            <w:tcW w:w="2971" w:type="dxa"/>
            <w:tcBorders>
              <w:top w:val="single" w:sz="4" w:space="0" w:color="auto"/>
              <w:left w:val="single" w:sz="4" w:space="0" w:color="auto"/>
              <w:bottom w:val="single" w:sz="4" w:space="0" w:color="auto"/>
            </w:tcBorders>
            <w:shd w:val="clear" w:color="auto" w:fill="FFFFFF"/>
          </w:tcPr>
          <w:p w:rsidR="00E37183" w:rsidRPr="003B1E50" w:rsidRDefault="00E37183" w:rsidP="00261944">
            <w:pPr>
              <w:framePr w:w="9835" w:wrap="notBeside" w:vAnchor="text" w:hAnchor="page" w:x="1051" w:y="-245"/>
              <w:rPr>
                <w:rFonts w:ascii="Times New Roman" w:hAnsi="Times New Roman" w:cs="Times New Roman"/>
              </w:rPr>
            </w:pPr>
            <w:r w:rsidRPr="003B1E50">
              <w:rPr>
                <w:rStyle w:val="2"/>
                <w:rFonts w:eastAsia="Tahoma"/>
              </w:rPr>
              <w:t>Отдел по управлению имуществом и землепользованию администрации Серафимовичского муниципального района Волгоградской области</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E37183" w:rsidRPr="003B1E50" w:rsidRDefault="00E37183" w:rsidP="00261944">
            <w:pPr>
              <w:framePr w:w="9835" w:wrap="notBeside" w:vAnchor="text" w:hAnchor="page" w:x="1051" w:y="-245"/>
              <w:rPr>
                <w:rFonts w:ascii="Times New Roman" w:hAnsi="Times New Roman" w:cs="Times New Roman"/>
              </w:rPr>
            </w:pPr>
            <w:r w:rsidRPr="003B1E50">
              <w:rPr>
                <w:rStyle w:val="2"/>
                <w:rFonts w:eastAsia="Tahoma"/>
              </w:rPr>
              <w:t>1 раз в полугодие</w:t>
            </w:r>
          </w:p>
        </w:tc>
      </w:tr>
    </w:tbl>
    <w:p w:rsidR="00E37183" w:rsidRPr="003B1E50" w:rsidRDefault="00E37183" w:rsidP="00E37183">
      <w:pPr>
        <w:framePr w:w="9835" w:wrap="notBeside" w:vAnchor="text" w:hAnchor="page" w:x="1051" w:y="-245"/>
        <w:rPr>
          <w:rFonts w:ascii="Times New Roman" w:hAnsi="Times New Roman" w:cs="Times New Roman"/>
        </w:rPr>
      </w:pPr>
    </w:p>
    <w:tbl>
      <w:tblPr>
        <w:tblOverlap w:val="never"/>
        <w:tblW w:w="0" w:type="auto"/>
        <w:tblLayout w:type="fixed"/>
        <w:tblCellMar>
          <w:left w:w="10" w:type="dxa"/>
          <w:right w:w="10" w:type="dxa"/>
        </w:tblCellMar>
        <w:tblLook w:val="04A0"/>
      </w:tblPr>
      <w:tblGrid>
        <w:gridCol w:w="874"/>
        <w:gridCol w:w="4061"/>
        <w:gridCol w:w="2971"/>
        <w:gridCol w:w="1886"/>
      </w:tblGrid>
      <w:tr w:rsidR="00E37183" w:rsidRPr="003B1E50" w:rsidTr="00261944">
        <w:trPr>
          <w:trHeight w:hRule="exact" w:val="4544"/>
        </w:trPr>
        <w:tc>
          <w:tcPr>
            <w:tcW w:w="874" w:type="dxa"/>
            <w:tcBorders>
              <w:top w:val="single" w:sz="4" w:space="0" w:color="auto"/>
              <w:left w:val="single" w:sz="4" w:space="0" w:color="auto"/>
              <w:bottom w:val="single" w:sz="4" w:space="0" w:color="auto"/>
            </w:tcBorders>
            <w:shd w:val="clear" w:color="auto" w:fill="FFFFFF"/>
          </w:tcPr>
          <w:p w:rsidR="00E37183" w:rsidRPr="003B1E50" w:rsidRDefault="00E37183" w:rsidP="00261944">
            <w:pPr>
              <w:framePr w:w="9792" w:wrap="notBeside" w:vAnchor="text" w:hAnchor="page" w:x="1051" w:y="9130"/>
              <w:spacing w:line="280" w:lineRule="exact"/>
              <w:ind w:left="380"/>
              <w:rPr>
                <w:rFonts w:ascii="Times New Roman" w:hAnsi="Times New Roman" w:cs="Times New Roman"/>
              </w:rPr>
            </w:pPr>
            <w:r w:rsidRPr="003B1E50">
              <w:rPr>
                <w:rStyle w:val="2"/>
                <w:rFonts w:eastAsia="Tahoma"/>
              </w:rPr>
              <w:t>8</w:t>
            </w:r>
          </w:p>
        </w:tc>
        <w:tc>
          <w:tcPr>
            <w:tcW w:w="4061" w:type="dxa"/>
            <w:tcBorders>
              <w:top w:val="single" w:sz="4" w:space="0" w:color="auto"/>
              <w:left w:val="single" w:sz="4" w:space="0" w:color="auto"/>
              <w:bottom w:val="single" w:sz="4" w:space="0" w:color="auto"/>
            </w:tcBorders>
            <w:shd w:val="clear" w:color="auto" w:fill="FFFFFF"/>
          </w:tcPr>
          <w:p w:rsidR="00E37183" w:rsidRPr="003B1E50" w:rsidRDefault="00E37183" w:rsidP="00261944">
            <w:pPr>
              <w:framePr w:w="9792" w:wrap="notBeside" w:vAnchor="text" w:hAnchor="page" w:x="1051" w:y="9130"/>
              <w:rPr>
                <w:rFonts w:ascii="Times New Roman" w:hAnsi="Times New Roman" w:cs="Times New Roman"/>
              </w:rPr>
            </w:pPr>
            <w:r w:rsidRPr="003B1E50">
              <w:rPr>
                <w:rStyle w:val="2"/>
                <w:rFonts w:eastAsia="Tahoma"/>
              </w:rPr>
              <w:t xml:space="preserve">Проведение приема муниципальными служащими, должностными инструкциями которых установлена обязанность по исполнению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Серафимовичского муниципального района Волгоградской области по вопросам организации и проведения проверок, </w:t>
            </w:r>
            <w:r>
              <w:rPr>
                <w:rStyle w:val="2"/>
                <w:rFonts w:eastAsia="Tahoma"/>
              </w:rPr>
              <w:t>с</w:t>
            </w:r>
            <w:r w:rsidRPr="003B1E50">
              <w:rPr>
                <w:rStyle w:val="2"/>
                <w:rFonts w:eastAsia="Tahoma"/>
              </w:rPr>
              <w:t>облюдения требований законодательства при осуществлении муниципального земельного контроля</w:t>
            </w:r>
          </w:p>
        </w:tc>
        <w:tc>
          <w:tcPr>
            <w:tcW w:w="2971" w:type="dxa"/>
            <w:tcBorders>
              <w:top w:val="single" w:sz="4" w:space="0" w:color="auto"/>
              <w:left w:val="single" w:sz="4" w:space="0" w:color="auto"/>
              <w:bottom w:val="single" w:sz="4" w:space="0" w:color="auto"/>
            </w:tcBorders>
            <w:shd w:val="clear" w:color="auto" w:fill="FFFFFF"/>
          </w:tcPr>
          <w:p w:rsidR="00E37183" w:rsidRPr="003B1E50" w:rsidRDefault="00E37183" w:rsidP="00261944">
            <w:pPr>
              <w:framePr w:w="9792" w:wrap="notBeside" w:vAnchor="text" w:hAnchor="page" w:x="1051" w:y="9130"/>
              <w:rPr>
                <w:rFonts w:ascii="Times New Roman" w:hAnsi="Times New Roman" w:cs="Times New Roman"/>
              </w:rPr>
            </w:pPr>
            <w:r w:rsidRPr="003B1E50">
              <w:rPr>
                <w:rStyle w:val="2"/>
                <w:rFonts w:eastAsia="Tahoma"/>
              </w:rPr>
              <w:t>Отдел по управлению имуществом и землепользованию администрации Серафимовичского муниципального района Волгоградской области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E37183" w:rsidRPr="003B1E50" w:rsidRDefault="00E37183" w:rsidP="00261944">
            <w:pPr>
              <w:framePr w:w="9792" w:wrap="notBeside" w:vAnchor="text" w:hAnchor="page" w:x="1051" w:y="9130"/>
              <w:spacing w:line="280" w:lineRule="exact"/>
              <w:ind w:left="280"/>
              <w:rPr>
                <w:rFonts w:ascii="Times New Roman" w:hAnsi="Times New Roman" w:cs="Times New Roman"/>
              </w:rPr>
            </w:pPr>
            <w:r w:rsidRPr="003B1E50">
              <w:rPr>
                <w:rStyle w:val="2"/>
                <w:rFonts w:eastAsia="Tahoma"/>
              </w:rPr>
              <w:t>Постоянно</w:t>
            </w:r>
          </w:p>
        </w:tc>
      </w:tr>
    </w:tbl>
    <w:p w:rsidR="00E37183" w:rsidRPr="003B1E50" w:rsidRDefault="00E37183" w:rsidP="00E37183">
      <w:pPr>
        <w:framePr w:w="9792" w:wrap="notBeside" w:vAnchor="text" w:hAnchor="page" w:x="1051" w:y="9130"/>
        <w:rPr>
          <w:rFonts w:ascii="Times New Roman" w:hAnsi="Times New Roman" w:cs="Times New Roman"/>
          <w:sz w:val="28"/>
          <w:szCs w:val="28"/>
        </w:rPr>
      </w:pPr>
    </w:p>
    <w:p w:rsidR="00E37183" w:rsidRPr="003B1E50" w:rsidRDefault="00E37183" w:rsidP="00E37183">
      <w:pPr>
        <w:rPr>
          <w:rFonts w:ascii="Times New Roman" w:hAnsi="Times New Roman" w:cs="Times New Roman"/>
        </w:rPr>
      </w:pPr>
    </w:p>
    <w:p w:rsidR="00AF6989" w:rsidRPr="00E37183" w:rsidRDefault="00AF6989" w:rsidP="00E37183"/>
    <w:sectPr w:rsidR="00AF6989" w:rsidRPr="00E37183" w:rsidSect="00F226C9">
      <w:type w:val="continuous"/>
      <w:pgSz w:w="11900" w:h="16840"/>
      <w:pgMar w:top="1086" w:right="854" w:bottom="709" w:left="79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0BD0"/>
    <w:multiLevelType w:val="multilevel"/>
    <w:tmpl w:val="DDE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094466"/>
    <w:multiLevelType w:val="hybridMultilevel"/>
    <w:tmpl w:val="8C4A6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A5E8E"/>
    <w:multiLevelType w:val="multilevel"/>
    <w:tmpl w:val="90EE6F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4311D8"/>
    <w:multiLevelType w:val="multilevel"/>
    <w:tmpl w:val="9CF87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7183"/>
    <w:rsid w:val="00AF6989"/>
    <w:rsid w:val="00DB0D0A"/>
    <w:rsid w:val="00E3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7183"/>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E37183"/>
    <w:rPr>
      <w:rFonts w:ascii="Times New Roman" w:eastAsia="Times New Roman" w:hAnsi="Times New Roman" w:cs="Times New Roman"/>
      <w:sz w:val="28"/>
      <w:szCs w:val="28"/>
      <w:shd w:val="clear" w:color="auto" w:fill="FFFFFF"/>
    </w:rPr>
  </w:style>
  <w:style w:type="character" w:customStyle="1" w:styleId="2">
    <w:name w:val="Основной текст (2)"/>
    <w:basedOn w:val="a0"/>
    <w:rsid w:val="00E3718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4">
    <w:name w:val="Подпись к таблице"/>
    <w:basedOn w:val="a"/>
    <w:link w:val="a3"/>
    <w:rsid w:val="00E37183"/>
    <w:pPr>
      <w:shd w:val="clear" w:color="auto" w:fill="FFFFFF"/>
      <w:spacing w:line="0" w:lineRule="atLeast"/>
    </w:pPr>
    <w:rPr>
      <w:rFonts w:ascii="Times New Roman" w:eastAsia="Times New Roman" w:hAnsi="Times New Roman" w:cs="Times New Roman"/>
      <w:color w:val="auto"/>
      <w:sz w:val="28"/>
      <w:szCs w:val="28"/>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Company>Microsoft</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2020-06-17T04:59:00Z</dcterms:created>
  <dcterms:modified xsi:type="dcterms:W3CDTF">2020-06-17T05:00:00Z</dcterms:modified>
</cp:coreProperties>
</file>